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96795A" w:rsidRPr="0096795A">
        <w:t xml:space="preserve"> </w:t>
      </w:r>
      <w:r w:rsidR="0096795A" w:rsidRPr="0096795A">
        <w:rPr>
          <w:rFonts w:ascii="Arial" w:hAnsi="Arial" w:cs="Arial"/>
          <w:b/>
          <w:sz w:val="24"/>
          <w:szCs w:val="24"/>
        </w:rPr>
        <w:t>2301322</w:t>
      </w:r>
      <w:bookmarkStart w:id="0" w:name="_GoBack"/>
      <w:bookmarkEnd w:id="0"/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80D10" w:rsidRPr="00D80D10">
        <w:rPr>
          <w:rFonts w:ascii="Arial" w:hAnsi="Arial" w:cs="Arial"/>
          <w:lang w:val="en-US"/>
        </w:rPr>
        <w:t xml:space="preserve">Discussion on timing for ATG RRM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</w:t>
      </w:r>
      <w:r w:rsidR="0001664D">
        <w:rPr>
          <w:rFonts w:ascii="Arial" w:hAnsi="Arial" w:cs="Arial"/>
          <w:lang w:val="en-US" w:eastAsia="ko-KR"/>
        </w:rPr>
        <w:t>13.4.</w:t>
      </w:r>
      <w:r w:rsidR="00075680">
        <w:rPr>
          <w:rFonts w:ascii="Arial" w:hAnsi="Arial" w:cs="Arial"/>
          <w:lang w:val="en-US" w:eastAsia="ko-KR"/>
        </w:rPr>
        <w:t>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>In this contri</w:t>
      </w:r>
      <w:r w:rsidR="008D7EDE">
        <w:rPr>
          <w:lang w:val="en-US" w:eastAsia="ko-KR"/>
        </w:rPr>
        <w:t>bution, we provide our views on timing requirement.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794A66" w:rsidRPr="00794A66" w:rsidRDefault="00794A66" w:rsidP="00794A66">
      <w:pPr>
        <w:pStyle w:val="a0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the last RAN4 meeting, RAN4 agreed the legacy TN requirement for </w:t>
      </w:r>
      <w:r w:rsidR="00AA5C44" w:rsidRPr="00DF53FB">
        <w:rPr>
          <w:i/>
          <w:lang w:val="en-US" w:eastAsia="ko-KR"/>
        </w:rPr>
        <w:t>deriveSSB-IndexFromCell</w:t>
      </w:r>
      <w:r w:rsidR="00AA5C44" w:rsidRPr="00865C4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can be reused, and </w:t>
      </w:r>
      <w:r>
        <w:rPr>
          <w:lang w:val="en-US" w:eastAsia="ko-KR"/>
        </w:rPr>
        <w:t>derive</w:t>
      </w:r>
      <w:r>
        <w:rPr>
          <w:rFonts w:hint="eastAsia"/>
          <w:lang w:val="en-US" w:eastAsia="ko-KR"/>
        </w:rPr>
        <w:t xml:space="preserve">SSB-IndexFromCell is </w:t>
      </w:r>
      <w:r>
        <w:rPr>
          <w:lang w:val="en-US" w:eastAsia="ko-KR"/>
        </w:rPr>
        <w:t>applicable to ATG is still open as follow.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04AF" w:rsidTr="007204AF">
        <w:tc>
          <w:tcPr>
            <w:tcW w:w="9855" w:type="dxa"/>
          </w:tcPr>
          <w:p w:rsidR="007204AF" w:rsidRDefault="007204AF" w:rsidP="007204AF">
            <w:pPr>
              <w:rPr>
                <w:b/>
                <w:u w:val="single"/>
                <w:lang w:eastAsia="ko-KR"/>
              </w:rPr>
            </w:pPr>
            <w:r w:rsidRPr="00322B2B">
              <w:rPr>
                <w:b/>
                <w:u w:val="single"/>
                <w:lang w:eastAsia="ko-KR"/>
              </w:rPr>
              <w:t xml:space="preserve">Issue 3-3-4: deriveSSB-IndexFromCell and deriveSSB-IndexFromCell-inter tolerance </w:t>
            </w:r>
          </w:p>
          <w:p w:rsidR="007204AF" w:rsidRPr="009C1141" w:rsidRDefault="007204AF" w:rsidP="007204AF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9C1141">
              <w:rPr>
                <w:rFonts w:eastAsia="SimSun"/>
              </w:rPr>
              <w:t xml:space="preserve">Option 1: Legacy TN requirement can be reused. It is up to network to decide whether to enable ‘deriveSSB-IndexFromCell’ and ‘deriveSSB-IndexFromCell-inter’ or not </w:t>
            </w:r>
          </w:p>
          <w:p w:rsidR="007204AF" w:rsidRDefault="007204AF" w:rsidP="007204AF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9C1141">
              <w:rPr>
                <w:rFonts w:eastAsia="SimSun"/>
              </w:rPr>
              <w:t xml:space="preserve">Option 2: RAN4 to study to utilize the deriveSSB-IndexFromCell based on the propagation delay difference between </w:t>
            </w:r>
            <w:r w:rsidR="000D1E40">
              <w:rPr>
                <w:rFonts w:eastAsia="SimSun"/>
              </w:rPr>
              <w:t xml:space="preserve">serving and neighbor cell. </w:t>
            </w:r>
          </w:p>
          <w:p w:rsidR="007204AF" w:rsidRDefault="007204AF" w:rsidP="007204AF">
            <w:pPr>
              <w:spacing w:after="120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>greement:</w:t>
            </w:r>
          </w:p>
          <w:p w:rsidR="007204AF" w:rsidRPr="007204AF" w:rsidRDefault="007204AF" w:rsidP="007204AF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lang w:eastAsia="ko-KR"/>
              </w:rPr>
            </w:pPr>
            <w:r w:rsidRPr="009C1141">
              <w:rPr>
                <w:rFonts w:eastAsia="SimSun"/>
              </w:rPr>
              <w:t xml:space="preserve">Legacy TN requirement can be reused. </w:t>
            </w:r>
            <w:r>
              <w:rPr>
                <w:color w:val="000000"/>
                <w:shd w:val="clear" w:color="auto" w:fill="FFFFFF"/>
              </w:rPr>
              <w:t>Whether ‘deriveSSB-IndexFromCell’ and/or ‘deriveSSB-IndexFromCell-inter’ are applicable to ATG scenarios is FFS</w:t>
            </w:r>
          </w:p>
        </w:tc>
      </w:tr>
    </w:tbl>
    <w:p w:rsidR="00794A66" w:rsidRDefault="00794A66" w:rsidP="00AA5C44">
      <w:pPr>
        <w:pStyle w:val="a0"/>
        <w:jc w:val="both"/>
        <w:rPr>
          <w:lang w:val="en-US" w:eastAsia="ko-KR"/>
        </w:rPr>
      </w:pPr>
      <w:r w:rsidRPr="00865C40">
        <w:rPr>
          <w:lang w:val="en-US" w:eastAsia="ko-KR"/>
        </w:rPr>
        <w:t xml:space="preserve">For NR FR1 TDD, </w:t>
      </w:r>
      <w:r w:rsidRPr="00DF53FB">
        <w:rPr>
          <w:i/>
          <w:lang w:val="en-US" w:eastAsia="ko-KR"/>
        </w:rPr>
        <w:t>deriveSSB-IndexFromCell</w:t>
      </w:r>
      <w:r w:rsidRPr="00865C40">
        <w:rPr>
          <w:lang w:val="en-US" w:eastAsia="ko-KR"/>
        </w:rPr>
        <w:t xml:space="preserve"> is always enabled, so UE can assume that the neighbor cell is synchronous with the serving cell. However, due to longer propagation delay for ATG deployment, </w:t>
      </w:r>
      <w:r w:rsidRPr="00DF53FB">
        <w:rPr>
          <w:i/>
          <w:lang w:val="en-US" w:eastAsia="ko-KR"/>
        </w:rPr>
        <w:t>deriveSSB-IndexFromCell</w:t>
      </w:r>
      <w:r w:rsidRPr="00865C40">
        <w:rPr>
          <w:lang w:val="en-US" w:eastAsia="ko-KR"/>
        </w:rPr>
        <w:t xml:space="preserve"> </w:t>
      </w:r>
      <w:r>
        <w:rPr>
          <w:lang w:val="en-US" w:eastAsia="ko-KR"/>
        </w:rPr>
        <w:t xml:space="preserve">might </w:t>
      </w:r>
      <w:r w:rsidRPr="00865C40">
        <w:rPr>
          <w:lang w:val="en-US" w:eastAsia="ko-KR"/>
        </w:rPr>
        <w:t>not be always feasible</w:t>
      </w:r>
      <w:r>
        <w:rPr>
          <w:lang w:val="en-US" w:eastAsia="ko-KR"/>
        </w:rPr>
        <w:t xml:space="preserve">. So, unlike TN TDD case, network </w:t>
      </w:r>
      <w:r w:rsidR="00AA5C44">
        <w:rPr>
          <w:lang w:val="en-US" w:eastAsia="ko-KR"/>
        </w:rPr>
        <w:t xml:space="preserve">needs to enable or disable </w:t>
      </w:r>
      <w:r w:rsidR="00AA5C44" w:rsidRPr="00DF53FB">
        <w:rPr>
          <w:i/>
          <w:lang w:val="en-US" w:eastAsia="ko-KR"/>
        </w:rPr>
        <w:t>deriveSSB-IndexFromCell</w:t>
      </w:r>
      <w:r w:rsidR="00AA5C44" w:rsidRPr="00865C40">
        <w:rPr>
          <w:lang w:val="en-US" w:eastAsia="ko-KR"/>
        </w:rPr>
        <w:t xml:space="preserve"> </w:t>
      </w:r>
      <w:r w:rsidR="00AA5C44">
        <w:rPr>
          <w:lang w:val="en-US" w:eastAsia="ko-KR"/>
        </w:rPr>
        <w:t xml:space="preserve">for ATG TDD deployment. </w:t>
      </w:r>
      <w:r w:rsidR="00AA5C44" w:rsidRPr="00AA5C44">
        <w:rPr>
          <w:lang w:val="en-US" w:eastAsia="ko-KR"/>
        </w:rPr>
        <w:t xml:space="preserve">In order for the network to determine whether to enable or disable </w:t>
      </w:r>
      <w:r w:rsidR="00AA5C44" w:rsidRPr="00DF53FB">
        <w:rPr>
          <w:i/>
          <w:lang w:val="en-US" w:eastAsia="ko-KR"/>
        </w:rPr>
        <w:t>deriveSSB-IndexFromCell</w:t>
      </w:r>
      <w:r w:rsidR="00AA5C44" w:rsidRPr="00AA5C44">
        <w:rPr>
          <w:lang w:val="en-US" w:eastAsia="ko-KR"/>
        </w:rPr>
        <w:t xml:space="preserve">, </w:t>
      </w:r>
      <w:r w:rsidR="00AA5C44">
        <w:rPr>
          <w:lang w:val="en-US" w:eastAsia="ko-KR"/>
        </w:rPr>
        <w:t xml:space="preserve">the </w:t>
      </w:r>
      <w:r w:rsidR="00AA5C44" w:rsidRPr="00AA5C44">
        <w:rPr>
          <w:lang w:val="en-US" w:eastAsia="ko-KR"/>
        </w:rPr>
        <w:t>distance information between the serving cell</w:t>
      </w:r>
      <w:r w:rsidR="00AA5C44">
        <w:rPr>
          <w:lang w:val="en-US" w:eastAsia="ko-KR"/>
        </w:rPr>
        <w:t>/</w:t>
      </w:r>
      <w:r w:rsidR="00AA5C44" w:rsidRPr="00AA5C44">
        <w:rPr>
          <w:lang w:val="en-US" w:eastAsia="ko-KR"/>
        </w:rPr>
        <w:t xml:space="preserve"> neighboring cell </w:t>
      </w:r>
      <w:r w:rsidR="00AA5C44">
        <w:rPr>
          <w:lang w:val="en-US" w:eastAsia="ko-KR"/>
        </w:rPr>
        <w:t>and ATG UE would</w:t>
      </w:r>
      <w:r w:rsidR="00AA5C44" w:rsidRPr="00AA5C44">
        <w:rPr>
          <w:lang w:val="en-US" w:eastAsia="ko-KR"/>
        </w:rPr>
        <w:t xml:space="preserve"> be </w:t>
      </w:r>
      <w:r w:rsidR="00AA5C44">
        <w:rPr>
          <w:lang w:val="en-US" w:eastAsia="ko-KR"/>
        </w:rPr>
        <w:t>required</w:t>
      </w:r>
      <w:r w:rsidR="00AA5C44" w:rsidRPr="00AA5C44">
        <w:rPr>
          <w:lang w:val="en-US" w:eastAsia="ko-KR"/>
        </w:rPr>
        <w:t>.</w:t>
      </w:r>
      <w:r w:rsidR="00AA5C44">
        <w:rPr>
          <w:lang w:val="en-US" w:eastAsia="ko-KR"/>
        </w:rPr>
        <w:t xml:space="preserve"> </w:t>
      </w:r>
    </w:p>
    <w:p w:rsidR="0043696F" w:rsidRDefault="0043696F" w:rsidP="0043696F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43696F">
        <w:rPr>
          <w:b/>
          <w:i/>
          <w:lang w:val="en-US" w:eastAsia="ko-KR"/>
        </w:rPr>
        <w:t>Observation 1:</w:t>
      </w:r>
      <w:r>
        <w:rPr>
          <w:lang w:val="en-US" w:eastAsia="ko-KR"/>
        </w:rPr>
        <w:t xml:space="preserve"> For ATG TDD deployment, </w:t>
      </w:r>
      <w:r w:rsidRPr="0033715D">
        <w:rPr>
          <w:color w:val="000000"/>
          <w:shd w:val="clear" w:color="auto" w:fill="FFFFFF"/>
        </w:rPr>
        <w:t>‘deriveSSB-IndexFromCell’ and/or ‘deriveSSB-IndexFromCell-inter’ are not always applicable</w:t>
      </w:r>
      <w:r>
        <w:rPr>
          <w:color w:val="000000"/>
          <w:shd w:val="clear" w:color="auto" w:fill="FFFFFF"/>
        </w:rPr>
        <w:t xml:space="preserve"> due to longer propagation delay.</w:t>
      </w:r>
    </w:p>
    <w:p w:rsidR="0033715D" w:rsidRDefault="0033715D" w:rsidP="0033715D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AA5C44">
        <w:rPr>
          <w:lang w:val="en-US" w:eastAsia="ko-KR"/>
        </w:rPr>
        <w:t>For ATG TDD deployment,</w:t>
      </w:r>
      <w:r w:rsidR="0043696F">
        <w:rPr>
          <w:lang w:val="en-US" w:eastAsia="ko-KR"/>
        </w:rPr>
        <w:t xml:space="preserve"> it </w:t>
      </w:r>
      <w:r w:rsidR="00116A4D">
        <w:rPr>
          <w:lang w:val="en-US" w:eastAsia="ko-KR"/>
        </w:rPr>
        <w:t>could be</w:t>
      </w:r>
      <w:r w:rsidR="0043696F">
        <w:rPr>
          <w:lang w:val="en-US" w:eastAsia="ko-KR"/>
        </w:rPr>
        <w:t xml:space="preserve"> up to</w:t>
      </w:r>
      <w:r w:rsidR="00AA5C44">
        <w:rPr>
          <w:lang w:val="en-US" w:eastAsia="ko-KR"/>
        </w:rPr>
        <w:t xml:space="preserve"> </w:t>
      </w:r>
      <w:r w:rsidR="0043696F">
        <w:rPr>
          <w:lang w:val="en-US" w:eastAsia="ko-KR"/>
        </w:rPr>
        <w:t xml:space="preserve">network to enable or disable </w:t>
      </w:r>
      <w:r w:rsidRPr="0033715D">
        <w:rPr>
          <w:color w:val="000000"/>
          <w:shd w:val="clear" w:color="auto" w:fill="FFFFFF"/>
        </w:rPr>
        <w:t>‘deriveSSB-IndexFromCell’ and/or ‘deriveSSB-IndexFromCell-inter’</w:t>
      </w:r>
      <w:r w:rsidR="001E4DBA">
        <w:rPr>
          <w:color w:val="000000"/>
          <w:shd w:val="clear" w:color="auto" w:fill="FFFFFF"/>
        </w:rPr>
        <w:t xml:space="preserve">, but </w:t>
      </w:r>
      <w:r w:rsidR="00E215F9">
        <w:rPr>
          <w:color w:val="000000"/>
          <w:shd w:val="clear" w:color="auto" w:fill="FFFFFF"/>
        </w:rPr>
        <w:t xml:space="preserve">in order for network to determine whether to enable </w:t>
      </w:r>
      <w:r w:rsidR="00E215F9" w:rsidRPr="0033715D">
        <w:rPr>
          <w:color w:val="000000"/>
          <w:shd w:val="clear" w:color="auto" w:fill="FFFFFF"/>
        </w:rPr>
        <w:t>deriveSSB-IndexFromCell’ and/or ‘deriveSSB-IndexFromCell-inter’</w:t>
      </w:r>
      <w:r w:rsidR="00E215F9">
        <w:rPr>
          <w:color w:val="000000"/>
          <w:shd w:val="clear" w:color="auto" w:fill="FFFFFF"/>
        </w:rPr>
        <w:t>,</w:t>
      </w:r>
      <w:r w:rsidR="00E215F9" w:rsidRPr="0033715D">
        <w:rPr>
          <w:color w:val="000000"/>
          <w:shd w:val="clear" w:color="auto" w:fill="FFFFFF"/>
        </w:rPr>
        <w:t xml:space="preserve"> </w:t>
      </w:r>
      <w:r w:rsidR="001E4DBA">
        <w:rPr>
          <w:color w:val="000000"/>
          <w:shd w:val="clear" w:color="auto" w:fill="FFFFFF"/>
        </w:rPr>
        <w:t xml:space="preserve">assistance </w:t>
      </w:r>
      <w:r w:rsidR="00E215F9">
        <w:rPr>
          <w:color w:val="000000"/>
          <w:shd w:val="clear" w:color="auto" w:fill="FFFFFF"/>
        </w:rPr>
        <w:t>information for distance between serving cell/neighbour cell and ATG UE is needed</w:t>
      </w:r>
      <w:r w:rsidRPr="0033715D">
        <w:rPr>
          <w:color w:val="000000"/>
          <w:shd w:val="clear" w:color="auto" w:fill="FFFFFF"/>
        </w:rPr>
        <w:t>.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FC197D" w:rsidRDefault="00552F63" w:rsidP="00FC197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FC197D">
        <w:rPr>
          <w:lang w:val="en-US" w:eastAsia="ko-KR"/>
        </w:rPr>
        <w:t>our views on timing requirement.</w:t>
      </w:r>
    </w:p>
    <w:p w:rsidR="0043696F" w:rsidRDefault="0043696F" w:rsidP="0043696F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43696F">
        <w:rPr>
          <w:b/>
          <w:i/>
          <w:lang w:val="en-US" w:eastAsia="ko-KR"/>
        </w:rPr>
        <w:t>Observation 1:</w:t>
      </w:r>
      <w:r>
        <w:rPr>
          <w:lang w:val="en-US" w:eastAsia="ko-KR"/>
        </w:rPr>
        <w:t xml:space="preserve"> For ATG TDD deployment, </w:t>
      </w:r>
      <w:r w:rsidRPr="0033715D">
        <w:rPr>
          <w:color w:val="000000"/>
          <w:shd w:val="clear" w:color="auto" w:fill="FFFFFF"/>
        </w:rPr>
        <w:t>‘deriveSSB-IndexFromCell’ and/or ‘deriveSSB-IndexFromCell-inter’ are not always applicable</w:t>
      </w:r>
      <w:r>
        <w:rPr>
          <w:color w:val="000000"/>
          <w:shd w:val="clear" w:color="auto" w:fill="FFFFFF"/>
        </w:rPr>
        <w:t xml:space="preserve"> due to longer propagation delay.</w:t>
      </w:r>
    </w:p>
    <w:p w:rsidR="00D42082" w:rsidRDefault="00D42082" w:rsidP="00D42082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For ATG TDD deployment, it could be up to network to enable or disable </w:t>
      </w:r>
      <w:r w:rsidRPr="0033715D">
        <w:rPr>
          <w:color w:val="000000"/>
          <w:shd w:val="clear" w:color="auto" w:fill="FFFFFF"/>
        </w:rPr>
        <w:t>‘deriveSSB-IndexFromCell’ and/or ‘deriveSSB-IndexFromCell-inter’</w:t>
      </w:r>
      <w:r>
        <w:rPr>
          <w:color w:val="000000"/>
          <w:shd w:val="clear" w:color="auto" w:fill="FFFFFF"/>
        </w:rPr>
        <w:t xml:space="preserve">, but in order for network to determine whether to enable </w:t>
      </w:r>
      <w:r w:rsidRPr="0033715D">
        <w:rPr>
          <w:color w:val="000000"/>
          <w:shd w:val="clear" w:color="auto" w:fill="FFFFFF"/>
        </w:rPr>
        <w:t>deriveSSB-IndexFromCell’ and/or ‘deriveSSB-IndexFromCell-inter’</w:t>
      </w:r>
      <w:r>
        <w:rPr>
          <w:color w:val="000000"/>
          <w:shd w:val="clear" w:color="auto" w:fill="FFFFFF"/>
        </w:rPr>
        <w:t>,</w:t>
      </w:r>
      <w:r w:rsidRPr="0033715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assistance information for distance between serving cell/neighbour cell and ATG UE is needed</w:t>
      </w:r>
      <w:r w:rsidRPr="0033715D">
        <w:rPr>
          <w:color w:val="000000"/>
          <w:shd w:val="clear" w:color="auto" w:fill="FFFFFF"/>
        </w:rPr>
        <w:t>.</w:t>
      </w:r>
    </w:p>
    <w:p w:rsidR="00C6596A" w:rsidRPr="00D42082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Pr="00DA11F9" w:rsidRDefault="00364543" w:rsidP="00364543">
      <w:pPr>
        <w:pStyle w:val="a0"/>
        <w:rPr>
          <w:lang w:val="en-US" w:eastAsia="ko-KR"/>
        </w:rPr>
      </w:pPr>
      <w:r>
        <w:rPr>
          <w:lang w:val="en-US" w:eastAsia="ko-KR"/>
        </w:rPr>
        <w:t>[1] R4-2220361 “WF on NR ATG RRM requirement”, CMCC</w:t>
      </w:r>
    </w:p>
    <w:sectPr w:rsidR="00752799" w:rsidRPr="00DA11F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BDA" w:rsidRDefault="00367BDA" w:rsidP="00D306DF">
      <w:r>
        <w:separator/>
      </w:r>
    </w:p>
  </w:endnote>
  <w:endnote w:type="continuationSeparator" w:id="0">
    <w:p w:rsidR="00367BDA" w:rsidRDefault="00367BD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BDA" w:rsidRDefault="00367BDA" w:rsidP="00D306DF">
      <w:r>
        <w:separator/>
      </w:r>
    </w:p>
  </w:footnote>
  <w:footnote w:type="continuationSeparator" w:id="0">
    <w:p w:rsidR="00367BDA" w:rsidRDefault="00367BD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FEB34FD"/>
    <w:multiLevelType w:val="hybridMultilevel"/>
    <w:tmpl w:val="FB7E97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7A6D56C">
      <w:start w:val="1635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1"/>
  </w:num>
  <w:num w:numId="10">
    <w:abstractNumId w:val="3"/>
  </w:num>
  <w:num w:numId="11">
    <w:abstractNumId w:val="19"/>
  </w:num>
  <w:num w:numId="12">
    <w:abstractNumId w:val="20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4"/>
  </w:num>
  <w:num w:numId="2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4FANz4OL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8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1E40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18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6A4D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B49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4DBA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41B"/>
    <w:rsid w:val="0033172A"/>
    <w:rsid w:val="00332E03"/>
    <w:rsid w:val="00332F4E"/>
    <w:rsid w:val="0033483E"/>
    <w:rsid w:val="00335351"/>
    <w:rsid w:val="003357C3"/>
    <w:rsid w:val="00335821"/>
    <w:rsid w:val="0033715D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4543"/>
    <w:rsid w:val="00365202"/>
    <w:rsid w:val="003663FF"/>
    <w:rsid w:val="003675E4"/>
    <w:rsid w:val="003675E8"/>
    <w:rsid w:val="00367BDA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B17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58D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5"/>
    <w:rsid w:val="003F401D"/>
    <w:rsid w:val="003F4918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96F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5B3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A03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065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882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56A"/>
    <w:rsid w:val="00717768"/>
    <w:rsid w:val="007204AF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4A66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ED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95A"/>
    <w:rsid w:val="00967B42"/>
    <w:rsid w:val="00970419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5C44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B2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0E93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D7DD1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CB7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3A74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082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0D10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1F9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427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15F9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197D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9A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5A2C9-3D47-42CF-B353-BD55F324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9</cp:revision>
  <dcterms:created xsi:type="dcterms:W3CDTF">2023-02-16T12:26:00Z</dcterms:created>
  <dcterms:modified xsi:type="dcterms:W3CDTF">2023-02-17T07:59:00Z</dcterms:modified>
</cp:coreProperties>
</file>